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2473" w:rsidRPr="00AF5332" w:rsidTr="00410D42">
        <w:tc>
          <w:tcPr>
            <w:tcW w:w="9962" w:type="dxa"/>
          </w:tcPr>
          <w:p w:rsidR="00C82473" w:rsidRPr="00AF5332" w:rsidRDefault="00C82473" w:rsidP="00C056C1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AF5332">
              <w:rPr>
                <w:rFonts w:ascii="Calibri" w:eastAsia="Cambria" w:hAnsi="Calibri" w:cs="Calibri"/>
                <w:sz w:val="24"/>
                <w:szCs w:val="24"/>
              </w:rPr>
              <w:t xml:space="preserve">Nombre del Comité:  Comité de Comunicación y </w:t>
            </w:r>
            <w:r w:rsidR="00C056C1">
              <w:rPr>
                <w:rFonts w:ascii="Calibri" w:eastAsia="Cambria" w:hAnsi="Calibri" w:cs="Calibri"/>
                <w:sz w:val="24"/>
                <w:szCs w:val="24"/>
              </w:rPr>
              <w:t>D</w:t>
            </w:r>
            <w:bookmarkStart w:id="0" w:name="_GoBack"/>
            <w:bookmarkEnd w:id="0"/>
            <w:r w:rsidRPr="00AF5332">
              <w:rPr>
                <w:rFonts w:ascii="Calibri" w:eastAsia="Cambria" w:hAnsi="Calibri" w:cs="Calibri"/>
                <w:sz w:val="24"/>
                <w:szCs w:val="24"/>
              </w:rPr>
              <w:t>ifusión de la Política Nacional de Desarrollo Urbano y Vivienda</w:t>
            </w:r>
          </w:p>
        </w:tc>
      </w:tr>
    </w:tbl>
    <w:p w:rsidR="00C82473" w:rsidRPr="00AF5332" w:rsidRDefault="00C82473" w:rsidP="00C82473">
      <w:pPr>
        <w:spacing w:after="120" w:line="240" w:lineRule="auto"/>
        <w:jc w:val="both"/>
        <w:rPr>
          <w:rFonts w:ascii="Calibri" w:eastAsia="Cambria" w:hAnsi="Calibri" w:cs="Calibri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53"/>
        <w:gridCol w:w="6475"/>
      </w:tblGrid>
      <w:tr w:rsidR="00C82473" w:rsidRPr="00AF5332" w:rsidTr="00410D42">
        <w:tc>
          <w:tcPr>
            <w:tcW w:w="2547" w:type="dxa"/>
          </w:tcPr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AF5332">
              <w:rPr>
                <w:rFonts w:ascii="Calibri" w:eastAsia="Cambria" w:hAnsi="Calibri" w:cs="Calibri"/>
                <w:sz w:val="24"/>
                <w:szCs w:val="24"/>
              </w:rPr>
              <w:t xml:space="preserve">Periodo </w:t>
            </w:r>
          </w:p>
        </w:tc>
        <w:tc>
          <w:tcPr>
            <w:tcW w:w="7415" w:type="dxa"/>
          </w:tcPr>
          <w:p w:rsidR="00C82473" w:rsidRPr="00AF5332" w:rsidRDefault="00C82473" w:rsidP="00410D42">
            <w:pPr>
              <w:spacing w:after="120"/>
              <w:jc w:val="both"/>
              <w:rPr>
                <w:rFonts w:eastAsia="Cambria" w:cs="Calibri"/>
                <w:sz w:val="24"/>
                <w:szCs w:val="24"/>
              </w:rPr>
            </w:pPr>
            <w:r w:rsidRPr="00AF5332">
              <w:rPr>
                <w:sz w:val="24"/>
                <w:szCs w:val="24"/>
              </w:rPr>
              <w:t>Enero – Junio 2014</w:t>
            </w:r>
          </w:p>
        </w:tc>
      </w:tr>
      <w:tr w:rsidR="00C82473" w:rsidRPr="00AF5332" w:rsidTr="00410D42">
        <w:tc>
          <w:tcPr>
            <w:tcW w:w="2547" w:type="dxa"/>
          </w:tcPr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AF5332">
              <w:rPr>
                <w:rFonts w:ascii="Calibri" w:eastAsia="Cambria" w:hAnsi="Calibri" w:cs="Calibri"/>
                <w:sz w:val="24"/>
                <w:szCs w:val="24"/>
              </w:rPr>
              <w:t>Temas y acciones abordados</w:t>
            </w:r>
          </w:p>
        </w:tc>
        <w:tc>
          <w:tcPr>
            <w:tcW w:w="7415" w:type="dxa"/>
          </w:tcPr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Definición del Público Objetivo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Definición de Mensajes Clave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Impactos sociales, económicos y ambientales de la elección de la vivienda (localización, tipo de vivienda, posesión)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Estrategias de movilidad para la ciudad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Uso responsable de recursos: agua y energía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Consumo sustentable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Participación ciudadana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Apropiación del espacio público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Diseño de l</w:t>
            </w:r>
            <w:r>
              <w:rPr>
                <w:sz w:val="24"/>
                <w:szCs w:val="24"/>
              </w:rPr>
              <w:t xml:space="preserve">a imagen institucional </w:t>
            </w:r>
          </w:p>
          <w:p w:rsidR="00C82473" w:rsidRPr="004C4CD1" w:rsidRDefault="00C82473" w:rsidP="00C8247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>Estrategias de difusión y comunicación adecuadas al público objetivo</w:t>
            </w:r>
          </w:p>
          <w:p w:rsidR="00C82473" w:rsidRPr="00C82473" w:rsidRDefault="00C82473" w:rsidP="00C82473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4C4CD1">
              <w:rPr>
                <w:sz w:val="24"/>
                <w:szCs w:val="24"/>
              </w:rPr>
              <w:t xml:space="preserve">Colaborar en el diseño de productos esperados para potenciar sus alcances entre el público objetivo definido: página web, </w:t>
            </w:r>
            <w:proofErr w:type="spellStart"/>
            <w:r w:rsidRPr="004C4CD1">
              <w:rPr>
                <w:sz w:val="24"/>
                <w:szCs w:val="24"/>
              </w:rPr>
              <w:t>infografias</w:t>
            </w:r>
            <w:proofErr w:type="spellEnd"/>
            <w:r w:rsidRPr="004C4CD1">
              <w:rPr>
                <w:sz w:val="24"/>
                <w:szCs w:val="24"/>
              </w:rPr>
              <w:t>, apps, Facebook, Twitter, videos, publicidad en sistemas de transporte, folletos, eventos en fechas estratégicas, concursos de diseño publicitario.</w:t>
            </w:r>
          </w:p>
          <w:p w:rsidR="00C82473" w:rsidRPr="00AF5332" w:rsidRDefault="00C82473" w:rsidP="00C82473">
            <w:pPr>
              <w:spacing w:after="120"/>
              <w:ind w:left="7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82473" w:rsidRPr="00AF5332" w:rsidTr="00410D42">
        <w:tc>
          <w:tcPr>
            <w:tcW w:w="2547" w:type="dxa"/>
          </w:tcPr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AF5332">
              <w:rPr>
                <w:rFonts w:ascii="Calibri" w:eastAsia="Cambria" w:hAnsi="Calibri" w:cs="Calibri"/>
                <w:sz w:val="24"/>
                <w:szCs w:val="24"/>
              </w:rPr>
              <w:t>Participantes</w:t>
            </w:r>
          </w:p>
        </w:tc>
        <w:tc>
          <w:tcPr>
            <w:tcW w:w="7415" w:type="dxa"/>
          </w:tcPr>
          <w:p w:rsidR="00C82473" w:rsidRPr="00205F58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Presidente: Guillermo Velasco Rodríguez, Coordinador de Programas, Centro Mario Molina para Estudios Estratégicos sobre Energía y Medio Ambiente</w:t>
            </w:r>
          </w:p>
          <w:p w:rsidR="00C82473" w:rsidRPr="00205F58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Secretario técnico: Mariana Orozco Camacho, Coordinadora de la Estrategia de Movilidad Urbana Sustentable, SEDATU.</w:t>
            </w:r>
          </w:p>
          <w:p w:rsidR="00C82473" w:rsidRPr="00205F58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Integrantes: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>Adriana de Almeida Lobo, CTS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Yann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Thoreau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 La Salle, Embajada de Francia en México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>Gabriela Alarcón Esteva, IMCO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>Maite Ramos, COPARMEX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lastRenderedPageBreak/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>María Dolores Franco Delgado, ONU Hábitat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 xml:space="preserve">Roberto Gaitán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Spamer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>, CONOREVI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 xml:space="preserve">Fernando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Abusaid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Quinard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>, CANADEVI.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 xml:space="preserve">Pedro López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Sela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>, Consultora Sustentable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Magolis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 Briones, CTS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Embarq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 México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 xml:space="preserve">Alejandro Luna C., CTS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Embarq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 México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>Gabriela Jurado, ONU-Hábitat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 xml:space="preserve">José Luis Romero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Hicks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, </w:t>
            </w:r>
            <w:proofErr w:type="spellStart"/>
            <w:r w:rsidRPr="00205F58">
              <w:rPr>
                <w:rFonts w:ascii="Calibri" w:eastAsia="Cambria" w:hAnsi="Calibri" w:cs="Calibri"/>
                <w:sz w:val="24"/>
                <w:szCs w:val="24"/>
              </w:rPr>
              <w:t>Gurpo</w:t>
            </w:r>
            <w:proofErr w:type="spellEnd"/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 de Apoyo a la Vivienda</w:t>
            </w:r>
          </w:p>
          <w:p w:rsidR="00C82473" w:rsidRPr="00205F58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>Jesús Ramírez López, CMIC</w:t>
            </w:r>
          </w:p>
          <w:p w:rsidR="00C82473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•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ab/>
              <w:t>Lorena Andrade, AHM</w:t>
            </w:r>
          </w:p>
          <w:p w:rsidR="00C82473" w:rsidRPr="00AF5332" w:rsidRDefault="00C82473" w:rsidP="00410D42">
            <w:pPr>
              <w:spacing w:after="120"/>
              <w:ind w:left="567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82473" w:rsidRPr="00AF5332" w:rsidTr="00410D42">
        <w:tc>
          <w:tcPr>
            <w:tcW w:w="2547" w:type="dxa"/>
          </w:tcPr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AF5332">
              <w:rPr>
                <w:rFonts w:ascii="Calibri" w:eastAsia="Cambria" w:hAnsi="Calibri" w:cs="Calibri"/>
                <w:sz w:val="24"/>
                <w:szCs w:val="24"/>
              </w:rPr>
              <w:lastRenderedPageBreak/>
              <w:t>Gestión</w:t>
            </w:r>
          </w:p>
        </w:tc>
        <w:tc>
          <w:tcPr>
            <w:tcW w:w="7415" w:type="dxa"/>
          </w:tcPr>
          <w:p w:rsidR="00C82473" w:rsidRPr="00205F58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Durante 2014, el Comité Operativo ha realizado 5 reuniones, dos en febrero, dos en abril y una en junio. Las dos primeras reuniones se enfocaron en el diseño del programa de trabajo y en establecer los lineamientos para elaborar una estrategia para la difusión del objetivo y temas prioritarios definidos por el Comité. </w:t>
            </w:r>
          </w:p>
          <w:p w:rsidR="00C82473" w:rsidRPr="00205F58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En la tercera reunión se presentaron los resultados del cuestionario que se envió, donde se señalaron los temas principales que se abordar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á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>n en la estrategia de comunicación. Se aprobó la ruta crítica para la elaboración de la Estrategia de Comunicación y Difusión de la Política de Desarrollo Urbano y Vivienda.</w:t>
            </w:r>
          </w:p>
          <w:p w:rsidR="00C82473" w:rsidRPr="00205F58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En la cuart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a 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>reunión se realizó un ejercicio para la propuesta y priorización de estrategias empleando el programa “Piensa”, proporcionado por COPARMEX.</w:t>
            </w:r>
          </w:p>
          <w:p w:rsidR="00C82473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Una vez definida una propuesta preliminar de estrategia de comunicación, en la última reunión el Centro Mario Molina señaló que para cumplir con los objetivos del Comité y petición del Secretario de la SEDATU, es importante desarrollar la página de internet para el Consejo así como su promoción en redes 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lastRenderedPageBreak/>
              <w:t>sociales. En este sentido, el C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entro 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>M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ario 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>M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olina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 xml:space="preserve"> encabeza actualmente la integración de una propuesta para publicar dicha página de internet, misma que será puesta a consideración de la SEDATU en las próximas semanas.</w:t>
            </w:r>
          </w:p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82473" w:rsidRPr="00AF5332" w:rsidTr="00410D42">
        <w:tc>
          <w:tcPr>
            <w:tcW w:w="2547" w:type="dxa"/>
          </w:tcPr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AF5332">
              <w:rPr>
                <w:rFonts w:ascii="Calibri" w:eastAsia="Cambria" w:hAnsi="Calibri" w:cs="Calibri"/>
                <w:sz w:val="24"/>
                <w:szCs w:val="24"/>
              </w:rPr>
              <w:lastRenderedPageBreak/>
              <w:t>Galería fotográfica</w:t>
            </w:r>
          </w:p>
        </w:tc>
        <w:tc>
          <w:tcPr>
            <w:tcW w:w="7415" w:type="dxa"/>
          </w:tcPr>
          <w:p w:rsidR="00C82473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No se anexa material fotográfico.</w:t>
            </w:r>
          </w:p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82473" w:rsidRPr="00AF5332" w:rsidTr="00410D42">
        <w:tc>
          <w:tcPr>
            <w:tcW w:w="2547" w:type="dxa"/>
          </w:tcPr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AF5332">
              <w:rPr>
                <w:rFonts w:ascii="Calibri" w:eastAsia="Cambria" w:hAnsi="Calibri" w:cs="Calibri"/>
                <w:sz w:val="24"/>
                <w:szCs w:val="24"/>
              </w:rPr>
              <w:t>Participación específica de los actores sociales</w:t>
            </w:r>
          </w:p>
        </w:tc>
        <w:tc>
          <w:tcPr>
            <w:tcW w:w="7415" w:type="dxa"/>
          </w:tcPr>
          <w:p w:rsidR="00C82473" w:rsidRPr="00205F58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Se adjuntan archivos con el cuestionario que se distribuyó entre los miembros del Comité y el resumen de las respuestas obtenidas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 (CO5. Cuestionario y CO5. Respuestas cuestionarios)</w:t>
            </w:r>
            <w:r w:rsidRPr="00205F58">
              <w:rPr>
                <w:rFonts w:ascii="Calibri" w:eastAsia="Cambria" w:hAnsi="Calibri" w:cs="Calibri"/>
                <w:sz w:val="24"/>
                <w:szCs w:val="24"/>
              </w:rPr>
              <w:t>.</w:t>
            </w:r>
          </w:p>
          <w:p w:rsidR="00C82473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A partir de este insumo se está trabajando en la siguiente fase de la elaboración de la propuesta.</w:t>
            </w:r>
          </w:p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82473" w:rsidRPr="00AF5332" w:rsidTr="00410D42">
        <w:tc>
          <w:tcPr>
            <w:tcW w:w="2547" w:type="dxa"/>
          </w:tcPr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AF5332">
              <w:rPr>
                <w:rFonts w:ascii="Calibri" w:eastAsia="Cambria" w:hAnsi="Calibri" w:cs="Calibri"/>
                <w:sz w:val="24"/>
                <w:szCs w:val="24"/>
              </w:rPr>
              <w:t>Atención y resultados de la institución</w:t>
            </w:r>
          </w:p>
        </w:tc>
        <w:tc>
          <w:tcPr>
            <w:tcW w:w="7415" w:type="dxa"/>
          </w:tcPr>
          <w:p w:rsidR="00C82473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205F58">
              <w:rPr>
                <w:rFonts w:ascii="Calibri" w:eastAsia="Cambria" w:hAnsi="Calibri" w:cs="Calibri"/>
                <w:sz w:val="24"/>
                <w:szCs w:val="24"/>
              </w:rPr>
              <w:t>SEDATU ha participado en las sesiones y se encuentra en espera de las propuestas de mensajes, de publicación de una página de internet y de una estrategia de difusión de la política en redes sociales.</w:t>
            </w:r>
          </w:p>
          <w:p w:rsidR="00C82473" w:rsidRPr="00AF5332" w:rsidRDefault="00C82473" w:rsidP="00410D42">
            <w:pPr>
              <w:spacing w:after="120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</w:tbl>
    <w:p w:rsidR="00C82473" w:rsidRPr="007F11A3" w:rsidRDefault="00C82473" w:rsidP="00C82473">
      <w:pPr>
        <w:spacing w:after="0"/>
        <w:rPr>
          <w:rFonts w:ascii="Arial" w:hAnsi="Arial" w:cs="Arial"/>
          <w:sz w:val="18"/>
          <w:szCs w:val="18"/>
        </w:rPr>
      </w:pPr>
    </w:p>
    <w:p w:rsidR="00CB7843" w:rsidRPr="00C82473" w:rsidRDefault="00CB7843" w:rsidP="00C82473"/>
    <w:sectPr w:rsidR="00CB7843" w:rsidRPr="00C8247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DD" w:rsidRDefault="001D28DD" w:rsidP="00E21548">
      <w:pPr>
        <w:spacing w:after="0" w:line="240" w:lineRule="auto"/>
      </w:pPr>
      <w:r>
        <w:separator/>
      </w:r>
    </w:p>
  </w:endnote>
  <w:endnote w:type="continuationSeparator" w:id="0">
    <w:p w:rsidR="001D28DD" w:rsidRDefault="001D28DD" w:rsidP="00E2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DD" w:rsidRDefault="001D28DD" w:rsidP="00E21548">
      <w:pPr>
        <w:spacing w:after="0" w:line="240" w:lineRule="auto"/>
      </w:pPr>
      <w:r>
        <w:separator/>
      </w:r>
    </w:p>
  </w:footnote>
  <w:footnote w:type="continuationSeparator" w:id="0">
    <w:p w:rsidR="001D28DD" w:rsidRDefault="001D28DD" w:rsidP="00E2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48" w:rsidRDefault="00E21548" w:rsidP="00E21548">
    <w:pPr>
      <w:pStyle w:val="Encabezado"/>
      <w:rPr>
        <w:noProof/>
        <w:lang w:eastAsia="es-MX"/>
      </w:rPr>
    </w:pPr>
    <w:r>
      <w:rPr>
        <w:rFonts w:ascii="Tahoma" w:eastAsia="Times New Roman" w:hAnsi="Tahoma" w:cs="Tahoma"/>
        <w:noProof/>
        <w:color w:val="000000"/>
        <w:sz w:val="20"/>
        <w:szCs w:val="20"/>
        <w:lang w:eastAsia="es-MX"/>
      </w:rPr>
      <w:drawing>
        <wp:inline distT="0" distB="0" distL="0" distR="0" wp14:anchorId="22E2069D" wp14:editId="54248309">
          <wp:extent cx="3267710" cy="688622"/>
          <wp:effectExtent l="0" t="0" r="0" b="0"/>
          <wp:docPr id="1" name="Imagen 1" descr="cid:b6a49722-0724-4769-b2dc-9e7a73868e6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b6a49722-0724-4769-b2dc-9e7a73868e6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831" cy="69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ab/>
    </w:r>
    <w:r w:rsidRPr="001119E7">
      <w:rPr>
        <w:noProof/>
        <w:sz w:val="28"/>
        <w:szCs w:val="28"/>
        <w:lang w:eastAsia="es-MX"/>
      </w:rPr>
      <w:t>Participación Ciudadana</w:t>
    </w:r>
  </w:p>
  <w:p w:rsidR="00E21548" w:rsidRDefault="00E215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3E48"/>
    <w:multiLevelType w:val="hybridMultilevel"/>
    <w:tmpl w:val="1B2E2C22"/>
    <w:lvl w:ilvl="0" w:tplc="73829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4C5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C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4F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4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23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8E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61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43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8"/>
    <w:rsid w:val="00135D19"/>
    <w:rsid w:val="001D28DD"/>
    <w:rsid w:val="00C056C1"/>
    <w:rsid w:val="00C82473"/>
    <w:rsid w:val="00CB7843"/>
    <w:rsid w:val="00E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76184-8F3C-4007-8905-08C606F2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1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548"/>
  </w:style>
  <w:style w:type="paragraph" w:styleId="Piedepgina">
    <w:name w:val="footer"/>
    <w:basedOn w:val="Normal"/>
    <w:link w:val="PiedepginaCar"/>
    <w:uiPriority w:val="99"/>
    <w:unhideWhenUsed/>
    <w:rsid w:val="00E21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548"/>
  </w:style>
  <w:style w:type="table" w:customStyle="1" w:styleId="Tablaconcuadrcula1">
    <w:name w:val="Tabla con cuadrícula1"/>
    <w:basedOn w:val="Tablanormal"/>
    <w:next w:val="Tablaconcuadrcula"/>
    <w:uiPriority w:val="59"/>
    <w:rsid w:val="00C8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6a49722-0724-4769-b2dc-9e7a73868e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Antonio Pirez San Sebastian</dc:creator>
  <cp:keywords/>
  <dc:description/>
  <cp:lastModifiedBy>Rafael Antonio Pirez San Sebastian</cp:lastModifiedBy>
  <cp:revision>3</cp:revision>
  <dcterms:created xsi:type="dcterms:W3CDTF">2014-07-30T18:55:00Z</dcterms:created>
  <dcterms:modified xsi:type="dcterms:W3CDTF">2014-07-30T18:56:00Z</dcterms:modified>
</cp:coreProperties>
</file>