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2473" w:rsidRPr="00AF5332" w:rsidTr="00410D42">
        <w:tc>
          <w:tcPr>
            <w:tcW w:w="9962" w:type="dxa"/>
          </w:tcPr>
          <w:p w:rsidR="00C82473" w:rsidRPr="00AF5332" w:rsidRDefault="00C82473" w:rsidP="00C056C1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AF5332">
              <w:rPr>
                <w:rFonts w:ascii="Calibri" w:eastAsia="Cambria" w:hAnsi="Calibri" w:cs="Calibri"/>
                <w:sz w:val="24"/>
                <w:szCs w:val="24"/>
              </w:rPr>
              <w:t xml:space="preserve">Nombre del Comité:  Comité de Comunicación y </w:t>
            </w:r>
            <w:r w:rsidR="00C056C1">
              <w:rPr>
                <w:rFonts w:ascii="Calibri" w:eastAsia="Cambria" w:hAnsi="Calibri" w:cs="Calibri"/>
                <w:sz w:val="24"/>
                <w:szCs w:val="24"/>
              </w:rPr>
              <w:t>D</w:t>
            </w:r>
            <w:bookmarkStart w:id="0" w:name="_GoBack"/>
            <w:bookmarkEnd w:id="0"/>
            <w:r w:rsidRPr="00AF5332">
              <w:rPr>
                <w:rFonts w:ascii="Calibri" w:eastAsia="Cambria" w:hAnsi="Calibri" w:cs="Calibri"/>
                <w:sz w:val="24"/>
                <w:szCs w:val="24"/>
              </w:rPr>
              <w:t>ifusión de la Política Nacional de Desarrollo Urbano y Vivienda</w:t>
            </w:r>
          </w:p>
        </w:tc>
      </w:tr>
    </w:tbl>
    <w:p w:rsidR="00C82473" w:rsidRPr="00AF5332" w:rsidRDefault="00C82473" w:rsidP="00C82473">
      <w:pPr>
        <w:spacing w:after="12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353"/>
        <w:gridCol w:w="6475"/>
      </w:tblGrid>
      <w:tr w:rsidR="00C82473" w:rsidRPr="00AF5332" w:rsidTr="00410D42">
        <w:tc>
          <w:tcPr>
            <w:tcW w:w="2547" w:type="dxa"/>
          </w:tcPr>
          <w:p w:rsidR="00C82473" w:rsidRPr="00AF5332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AF5332">
              <w:rPr>
                <w:rFonts w:ascii="Calibri" w:eastAsia="Cambria" w:hAnsi="Calibri" w:cs="Calibri"/>
                <w:sz w:val="24"/>
                <w:szCs w:val="24"/>
              </w:rPr>
              <w:t xml:space="preserve">Periodo </w:t>
            </w:r>
          </w:p>
        </w:tc>
        <w:tc>
          <w:tcPr>
            <w:tcW w:w="7415" w:type="dxa"/>
          </w:tcPr>
          <w:p w:rsidR="00C82473" w:rsidRPr="00AF5332" w:rsidRDefault="00C82473" w:rsidP="00410D42">
            <w:pPr>
              <w:spacing w:after="120"/>
              <w:jc w:val="both"/>
              <w:rPr>
                <w:rFonts w:eastAsia="Cambria" w:cs="Calibri"/>
                <w:sz w:val="24"/>
                <w:szCs w:val="24"/>
              </w:rPr>
            </w:pPr>
            <w:r w:rsidRPr="00AF5332">
              <w:rPr>
                <w:sz w:val="24"/>
                <w:szCs w:val="24"/>
              </w:rPr>
              <w:t>Enero – Junio 2014</w:t>
            </w:r>
          </w:p>
        </w:tc>
      </w:tr>
      <w:tr w:rsidR="00C82473" w:rsidRPr="00AF5332" w:rsidTr="00410D42">
        <w:tc>
          <w:tcPr>
            <w:tcW w:w="2547" w:type="dxa"/>
          </w:tcPr>
          <w:p w:rsidR="00C82473" w:rsidRPr="00AF5332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AF5332">
              <w:rPr>
                <w:rFonts w:ascii="Calibri" w:eastAsia="Cambria" w:hAnsi="Calibri" w:cs="Calibri"/>
                <w:sz w:val="24"/>
                <w:szCs w:val="24"/>
              </w:rPr>
              <w:t>Temas y acciones abordados</w:t>
            </w:r>
          </w:p>
        </w:tc>
        <w:tc>
          <w:tcPr>
            <w:tcW w:w="7415" w:type="dxa"/>
          </w:tcPr>
          <w:p w:rsidR="00C82473" w:rsidRPr="004C4CD1" w:rsidRDefault="00C82473" w:rsidP="00C8247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C4CD1">
              <w:rPr>
                <w:sz w:val="24"/>
                <w:szCs w:val="24"/>
              </w:rPr>
              <w:t>Definición del Público Objetivo</w:t>
            </w:r>
          </w:p>
          <w:p w:rsidR="00C82473" w:rsidRPr="004C4CD1" w:rsidRDefault="00C82473" w:rsidP="00C8247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C4CD1">
              <w:rPr>
                <w:sz w:val="24"/>
                <w:szCs w:val="24"/>
              </w:rPr>
              <w:t>Definición de Mensajes Clave</w:t>
            </w:r>
          </w:p>
          <w:p w:rsidR="00C82473" w:rsidRPr="004C4CD1" w:rsidRDefault="00C82473" w:rsidP="00C8247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C4CD1">
              <w:rPr>
                <w:sz w:val="24"/>
                <w:szCs w:val="24"/>
              </w:rPr>
              <w:t>Impactos sociales, económicos y ambientales de la elección de la vivienda (localización, tipo de vivienda, posesión)</w:t>
            </w:r>
          </w:p>
          <w:p w:rsidR="00C82473" w:rsidRPr="004C4CD1" w:rsidRDefault="00C82473" w:rsidP="00C8247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C4CD1">
              <w:rPr>
                <w:sz w:val="24"/>
                <w:szCs w:val="24"/>
              </w:rPr>
              <w:t>Estrategias de movilidad para la ciudad</w:t>
            </w:r>
          </w:p>
          <w:p w:rsidR="00C82473" w:rsidRPr="004C4CD1" w:rsidRDefault="00C82473" w:rsidP="00C8247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C4CD1">
              <w:rPr>
                <w:sz w:val="24"/>
                <w:szCs w:val="24"/>
              </w:rPr>
              <w:t>Uso responsable de recursos: agua y energía</w:t>
            </w:r>
          </w:p>
          <w:p w:rsidR="00C82473" w:rsidRPr="004C4CD1" w:rsidRDefault="00C82473" w:rsidP="00C8247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C4CD1">
              <w:rPr>
                <w:sz w:val="24"/>
                <w:szCs w:val="24"/>
              </w:rPr>
              <w:t>Consumo sustentable</w:t>
            </w:r>
          </w:p>
          <w:p w:rsidR="00C82473" w:rsidRPr="004C4CD1" w:rsidRDefault="00C82473" w:rsidP="00C8247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C4CD1">
              <w:rPr>
                <w:sz w:val="24"/>
                <w:szCs w:val="24"/>
              </w:rPr>
              <w:t>Participación ciudadana</w:t>
            </w:r>
          </w:p>
          <w:p w:rsidR="00C82473" w:rsidRPr="004C4CD1" w:rsidRDefault="00C82473" w:rsidP="00C8247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C4CD1">
              <w:rPr>
                <w:sz w:val="24"/>
                <w:szCs w:val="24"/>
              </w:rPr>
              <w:t>Apropiación del espacio público</w:t>
            </w:r>
          </w:p>
          <w:p w:rsidR="00C82473" w:rsidRPr="004C4CD1" w:rsidRDefault="00C82473" w:rsidP="00C8247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C4CD1">
              <w:rPr>
                <w:sz w:val="24"/>
                <w:szCs w:val="24"/>
              </w:rPr>
              <w:t>Diseño de l</w:t>
            </w:r>
            <w:r>
              <w:rPr>
                <w:sz w:val="24"/>
                <w:szCs w:val="24"/>
              </w:rPr>
              <w:t xml:space="preserve">a imagen institucional </w:t>
            </w:r>
          </w:p>
          <w:p w:rsidR="00C82473" w:rsidRPr="004C4CD1" w:rsidRDefault="00C82473" w:rsidP="00C8247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C4CD1">
              <w:rPr>
                <w:sz w:val="24"/>
                <w:szCs w:val="24"/>
              </w:rPr>
              <w:t>Estrategias de difusión y comunicación adecuadas al público objetivo</w:t>
            </w:r>
          </w:p>
          <w:p w:rsidR="00C82473" w:rsidRPr="00C82473" w:rsidRDefault="00C82473" w:rsidP="00C82473">
            <w:pPr>
              <w:numPr>
                <w:ilvl w:val="0"/>
                <w:numId w:val="1"/>
              </w:num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4C4CD1">
              <w:rPr>
                <w:sz w:val="24"/>
                <w:szCs w:val="24"/>
              </w:rPr>
              <w:t xml:space="preserve">Colaborar en el diseño de productos esperados para potenciar sus alcances entre el público objetivo definido: página web, </w:t>
            </w:r>
            <w:proofErr w:type="spellStart"/>
            <w:r w:rsidRPr="004C4CD1">
              <w:rPr>
                <w:sz w:val="24"/>
                <w:szCs w:val="24"/>
              </w:rPr>
              <w:t>infografias</w:t>
            </w:r>
            <w:proofErr w:type="spellEnd"/>
            <w:r w:rsidRPr="004C4CD1">
              <w:rPr>
                <w:sz w:val="24"/>
                <w:szCs w:val="24"/>
              </w:rPr>
              <w:t>, apps, Facebook, Twitter, videos, publicidad en sistemas de transporte, folletos, eventos en fechas estratégicas, concursos de diseño publicitario.</w:t>
            </w:r>
          </w:p>
          <w:p w:rsidR="00C82473" w:rsidRPr="00AF5332" w:rsidRDefault="00C82473" w:rsidP="00C82473">
            <w:pPr>
              <w:spacing w:after="120"/>
              <w:ind w:left="7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</w:tr>
      <w:tr w:rsidR="00C82473" w:rsidRPr="00AF5332" w:rsidTr="00410D42">
        <w:tc>
          <w:tcPr>
            <w:tcW w:w="2547" w:type="dxa"/>
          </w:tcPr>
          <w:p w:rsidR="00C82473" w:rsidRPr="00AF5332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AF5332">
              <w:rPr>
                <w:rFonts w:ascii="Calibri" w:eastAsia="Cambria" w:hAnsi="Calibri" w:cs="Calibri"/>
                <w:sz w:val="24"/>
                <w:szCs w:val="24"/>
              </w:rPr>
              <w:t>Participantes</w:t>
            </w:r>
          </w:p>
        </w:tc>
        <w:tc>
          <w:tcPr>
            <w:tcW w:w="7415" w:type="dxa"/>
          </w:tcPr>
          <w:p w:rsidR="00C82473" w:rsidRPr="00205F58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Presidente: Guillermo Velasco Rodríguez, Coordinador de Programas, Centro Mario Molina para Estudios Estratégicos sobre Energía y Medio Ambiente</w:t>
            </w:r>
          </w:p>
          <w:p w:rsidR="00C82473" w:rsidRPr="00205F58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Secretario técnico: Mariana Orozco Camacho, Coordinadora de la Estrategia de Movilidad Urbana Sustentable, SEDATU.</w:t>
            </w:r>
          </w:p>
          <w:p w:rsidR="00C82473" w:rsidRPr="00205F58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Integrantes:</w:t>
            </w:r>
          </w:p>
          <w:p w:rsidR="00C82473" w:rsidRPr="00205F58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  <w:t>Adriana de Almeida Lobo, CTS</w:t>
            </w:r>
          </w:p>
          <w:p w:rsidR="00C82473" w:rsidRPr="00205F58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</w:r>
            <w:proofErr w:type="spellStart"/>
            <w:r w:rsidRPr="00205F58">
              <w:rPr>
                <w:rFonts w:ascii="Calibri" w:eastAsia="Cambria" w:hAnsi="Calibri" w:cs="Calibri"/>
                <w:sz w:val="24"/>
                <w:szCs w:val="24"/>
              </w:rPr>
              <w:t>Yann</w:t>
            </w:r>
            <w:proofErr w:type="spellEnd"/>
            <w:r w:rsidRPr="00205F58">
              <w:rPr>
                <w:rFonts w:ascii="Calibri" w:eastAsia="Cambria" w:hAnsi="Calibri" w:cs="Calibri"/>
                <w:sz w:val="24"/>
                <w:szCs w:val="24"/>
              </w:rPr>
              <w:t xml:space="preserve"> </w:t>
            </w:r>
            <w:proofErr w:type="spellStart"/>
            <w:r w:rsidRPr="00205F58">
              <w:rPr>
                <w:rFonts w:ascii="Calibri" w:eastAsia="Cambria" w:hAnsi="Calibri" w:cs="Calibri"/>
                <w:sz w:val="24"/>
                <w:szCs w:val="24"/>
              </w:rPr>
              <w:t>Thoreau</w:t>
            </w:r>
            <w:proofErr w:type="spellEnd"/>
            <w:r w:rsidRPr="00205F58">
              <w:rPr>
                <w:rFonts w:ascii="Calibri" w:eastAsia="Cambria" w:hAnsi="Calibri" w:cs="Calibri"/>
                <w:sz w:val="24"/>
                <w:szCs w:val="24"/>
              </w:rPr>
              <w:t xml:space="preserve"> La Salle, Embajada de Francia en México</w:t>
            </w:r>
          </w:p>
          <w:p w:rsidR="00C82473" w:rsidRPr="00205F58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  <w:t>Gabriela Alarcón Esteva, IMCO</w:t>
            </w:r>
          </w:p>
          <w:p w:rsidR="00C82473" w:rsidRPr="00205F58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  <w:t>Maite Ramos, COPARMEX</w:t>
            </w:r>
          </w:p>
          <w:p w:rsidR="00C82473" w:rsidRPr="00205F58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lastRenderedPageBreak/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  <w:t>María Dolores Franco Delgado, ONU Hábitat</w:t>
            </w:r>
          </w:p>
          <w:p w:rsidR="00C82473" w:rsidRPr="00205F58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  <w:t xml:space="preserve">Roberto Gaitán </w:t>
            </w:r>
            <w:proofErr w:type="spellStart"/>
            <w:r w:rsidRPr="00205F58">
              <w:rPr>
                <w:rFonts w:ascii="Calibri" w:eastAsia="Cambria" w:hAnsi="Calibri" w:cs="Calibri"/>
                <w:sz w:val="24"/>
                <w:szCs w:val="24"/>
              </w:rPr>
              <w:t>Spamer</w:t>
            </w:r>
            <w:proofErr w:type="spellEnd"/>
            <w:r w:rsidRPr="00205F58">
              <w:rPr>
                <w:rFonts w:ascii="Calibri" w:eastAsia="Cambria" w:hAnsi="Calibri" w:cs="Calibri"/>
                <w:sz w:val="24"/>
                <w:szCs w:val="24"/>
              </w:rPr>
              <w:t>, CONOREVI</w:t>
            </w:r>
          </w:p>
          <w:p w:rsidR="00C82473" w:rsidRPr="00205F58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  <w:t xml:space="preserve">Fernando </w:t>
            </w:r>
            <w:proofErr w:type="spellStart"/>
            <w:r w:rsidRPr="00205F58">
              <w:rPr>
                <w:rFonts w:ascii="Calibri" w:eastAsia="Cambria" w:hAnsi="Calibri" w:cs="Calibri"/>
                <w:sz w:val="24"/>
                <w:szCs w:val="24"/>
              </w:rPr>
              <w:t>Abusaid</w:t>
            </w:r>
            <w:proofErr w:type="spellEnd"/>
            <w:r w:rsidRPr="00205F58">
              <w:rPr>
                <w:rFonts w:ascii="Calibri" w:eastAsia="Cambria" w:hAnsi="Calibri" w:cs="Calibri"/>
                <w:sz w:val="24"/>
                <w:szCs w:val="24"/>
              </w:rPr>
              <w:t xml:space="preserve"> </w:t>
            </w:r>
            <w:proofErr w:type="spellStart"/>
            <w:r w:rsidRPr="00205F58">
              <w:rPr>
                <w:rFonts w:ascii="Calibri" w:eastAsia="Cambria" w:hAnsi="Calibri" w:cs="Calibri"/>
                <w:sz w:val="24"/>
                <w:szCs w:val="24"/>
              </w:rPr>
              <w:t>Quinard</w:t>
            </w:r>
            <w:proofErr w:type="spellEnd"/>
            <w:r w:rsidRPr="00205F58">
              <w:rPr>
                <w:rFonts w:ascii="Calibri" w:eastAsia="Cambria" w:hAnsi="Calibri" w:cs="Calibri"/>
                <w:sz w:val="24"/>
                <w:szCs w:val="24"/>
              </w:rPr>
              <w:t>, CANADEVI.</w:t>
            </w:r>
          </w:p>
          <w:p w:rsidR="00C82473" w:rsidRPr="00205F58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  <w:t xml:space="preserve">Pedro López </w:t>
            </w:r>
            <w:proofErr w:type="spellStart"/>
            <w:r w:rsidRPr="00205F58">
              <w:rPr>
                <w:rFonts w:ascii="Calibri" w:eastAsia="Cambria" w:hAnsi="Calibri" w:cs="Calibri"/>
                <w:sz w:val="24"/>
                <w:szCs w:val="24"/>
              </w:rPr>
              <w:t>Sela</w:t>
            </w:r>
            <w:proofErr w:type="spellEnd"/>
            <w:r w:rsidRPr="00205F58">
              <w:rPr>
                <w:rFonts w:ascii="Calibri" w:eastAsia="Cambria" w:hAnsi="Calibri" w:cs="Calibri"/>
                <w:sz w:val="24"/>
                <w:szCs w:val="24"/>
              </w:rPr>
              <w:t>, Consultora Sustentable</w:t>
            </w:r>
          </w:p>
          <w:p w:rsidR="00C82473" w:rsidRPr="00205F58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</w:r>
            <w:proofErr w:type="spellStart"/>
            <w:r w:rsidRPr="00205F58">
              <w:rPr>
                <w:rFonts w:ascii="Calibri" w:eastAsia="Cambria" w:hAnsi="Calibri" w:cs="Calibri"/>
                <w:sz w:val="24"/>
                <w:szCs w:val="24"/>
              </w:rPr>
              <w:t>Magolis</w:t>
            </w:r>
            <w:proofErr w:type="spellEnd"/>
            <w:r w:rsidRPr="00205F58">
              <w:rPr>
                <w:rFonts w:ascii="Calibri" w:eastAsia="Cambria" w:hAnsi="Calibri" w:cs="Calibri"/>
                <w:sz w:val="24"/>
                <w:szCs w:val="24"/>
              </w:rPr>
              <w:t xml:space="preserve"> Briones, CTS </w:t>
            </w:r>
            <w:proofErr w:type="spellStart"/>
            <w:r w:rsidRPr="00205F58">
              <w:rPr>
                <w:rFonts w:ascii="Calibri" w:eastAsia="Cambria" w:hAnsi="Calibri" w:cs="Calibri"/>
                <w:sz w:val="24"/>
                <w:szCs w:val="24"/>
              </w:rPr>
              <w:t>Embarq</w:t>
            </w:r>
            <w:proofErr w:type="spellEnd"/>
            <w:r w:rsidRPr="00205F58">
              <w:rPr>
                <w:rFonts w:ascii="Calibri" w:eastAsia="Cambria" w:hAnsi="Calibri" w:cs="Calibri"/>
                <w:sz w:val="24"/>
                <w:szCs w:val="24"/>
              </w:rPr>
              <w:t xml:space="preserve"> México</w:t>
            </w:r>
          </w:p>
          <w:p w:rsidR="00C82473" w:rsidRPr="00205F58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  <w:t xml:space="preserve">Alejandro Luna C., CTS </w:t>
            </w:r>
            <w:proofErr w:type="spellStart"/>
            <w:r w:rsidRPr="00205F58">
              <w:rPr>
                <w:rFonts w:ascii="Calibri" w:eastAsia="Cambria" w:hAnsi="Calibri" w:cs="Calibri"/>
                <w:sz w:val="24"/>
                <w:szCs w:val="24"/>
              </w:rPr>
              <w:t>Embarq</w:t>
            </w:r>
            <w:proofErr w:type="spellEnd"/>
            <w:r w:rsidRPr="00205F58">
              <w:rPr>
                <w:rFonts w:ascii="Calibri" w:eastAsia="Cambria" w:hAnsi="Calibri" w:cs="Calibri"/>
                <w:sz w:val="24"/>
                <w:szCs w:val="24"/>
              </w:rPr>
              <w:t xml:space="preserve"> México</w:t>
            </w:r>
          </w:p>
          <w:p w:rsidR="00C82473" w:rsidRPr="00205F58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  <w:t>Gabriela Jurado, ONU-Hábitat</w:t>
            </w:r>
          </w:p>
          <w:p w:rsidR="00C82473" w:rsidRPr="00205F58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  <w:t xml:space="preserve">José Luis Romero </w:t>
            </w:r>
            <w:proofErr w:type="spellStart"/>
            <w:r w:rsidRPr="00205F58">
              <w:rPr>
                <w:rFonts w:ascii="Calibri" w:eastAsia="Cambria" w:hAnsi="Calibri" w:cs="Calibri"/>
                <w:sz w:val="24"/>
                <w:szCs w:val="24"/>
              </w:rPr>
              <w:t>Hicks</w:t>
            </w:r>
            <w:proofErr w:type="spellEnd"/>
            <w:r w:rsidRPr="00205F58">
              <w:rPr>
                <w:rFonts w:ascii="Calibri" w:eastAsia="Cambria" w:hAnsi="Calibri" w:cs="Calibri"/>
                <w:sz w:val="24"/>
                <w:szCs w:val="24"/>
              </w:rPr>
              <w:t xml:space="preserve">, </w:t>
            </w:r>
            <w:proofErr w:type="spellStart"/>
            <w:r w:rsidRPr="00205F58">
              <w:rPr>
                <w:rFonts w:ascii="Calibri" w:eastAsia="Cambria" w:hAnsi="Calibri" w:cs="Calibri"/>
                <w:sz w:val="24"/>
                <w:szCs w:val="24"/>
              </w:rPr>
              <w:t>Gurpo</w:t>
            </w:r>
            <w:proofErr w:type="spellEnd"/>
            <w:r w:rsidRPr="00205F58">
              <w:rPr>
                <w:rFonts w:ascii="Calibri" w:eastAsia="Cambria" w:hAnsi="Calibri" w:cs="Calibri"/>
                <w:sz w:val="24"/>
                <w:szCs w:val="24"/>
              </w:rPr>
              <w:t xml:space="preserve"> de Apoyo a la Vivienda</w:t>
            </w:r>
          </w:p>
          <w:p w:rsidR="00C82473" w:rsidRPr="00205F58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  <w:t>Jesús Ramírez López, CMIC</w:t>
            </w:r>
          </w:p>
          <w:p w:rsidR="00C82473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•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ab/>
              <w:t>Lorena Andrade, AHM</w:t>
            </w:r>
          </w:p>
          <w:p w:rsidR="00C82473" w:rsidRPr="00AF5332" w:rsidRDefault="00C82473" w:rsidP="00410D42">
            <w:pPr>
              <w:spacing w:after="120"/>
              <w:ind w:left="567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</w:tr>
      <w:tr w:rsidR="00C82473" w:rsidRPr="00AF5332" w:rsidTr="00410D42">
        <w:tc>
          <w:tcPr>
            <w:tcW w:w="2547" w:type="dxa"/>
          </w:tcPr>
          <w:p w:rsidR="00C82473" w:rsidRPr="00AF5332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AF5332">
              <w:rPr>
                <w:rFonts w:ascii="Calibri" w:eastAsia="Cambria" w:hAnsi="Calibri" w:cs="Calibri"/>
                <w:sz w:val="24"/>
                <w:szCs w:val="24"/>
              </w:rPr>
              <w:lastRenderedPageBreak/>
              <w:t>Gestión</w:t>
            </w:r>
          </w:p>
        </w:tc>
        <w:tc>
          <w:tcPr>
            <w:tcW w:w="7415" w:type="dxa"/>
          </w:tcPr>
          <w:p w:rsidR="00C82473" w:rsidRPr="00205F58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 xml:space="preserve">Durante 2014, el Comité Operativo ha realizado 5 reuniones, dos en febrero, dos en abril y una en junio. Las dos primeras reuniones se enfocaron en el diseño del programa de trabajo y en establecer los lineamientos para elaborar una estrategia para la difusión del objetivo y temas prioritarios definidos por el Comité. </w:t>
            </w:r>
          </w:p>
          <w:p w:rsidR="00C82473" w:rsidRPr="00205F58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En la tercera reunión se presentaron los resultados del cuestionario que se envió, donde se señalaron los temas principales que se abordar</w:t>
            </w:r>
            <w:r>
              <w:rPr>
                <w:rFonts w:ascii="Calibri" w:eastAsia="Cambria" w:hAnsi="Calibri" w:cs="Calibri"/>
                <w:sz w:val="24"/>
                <w:szCs w:val="24"/>
              </w:rPr>
              <w:t>á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>n en la estrategia de comunicación. Se aprobó la ruta crítica para la elaboración de la Estrategia de Comunicación y Difusión de la Política de Desarrollo Urbano y Vivienda.</w:t>
            </w:r>
          </w:p>
          <w:p w:rsidR="00C82473" w:rsidRPr="00205F58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En la cuart</w:t>
            </w:r>
            <w:r>
              <w:rPr>
                <w:rFonts w:ascii="Calibri" w:eastAsia="Cambria" w:hAnsi="Calibri" w:cs="Calibri"/>
                <w:sz w:val="24"/>
                <w:szCs w:val="24"/>
              </w:rPr>
              <w:t xml:space="preserve">a 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>reunión se realizó un ejercicio para la propuesta y priorización de estrategias empleando el programa “Piensa”, proporcionado por COPARMEX.</w:t>
            </w:r>
          </w:p>
          <w:p w:rsidR="00C82473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 xml:space="preserve">Una vez definida una propuesta preliminar de estrategia de comunicación, en la última reunión el Centro Mario Molina señaló que para cumplir con los objetivos del Comité y petición del Secretario de la SEDATU, es importante desarrollar la página de internet para el Consejo así como su promoción en redes 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lastRenderedPageBreak/>
              <w:t>sociales. En este sentido, el C</w:t>
            </w:r>
            <w:r>
              <w:rPr>
                <w:rFonts w:ascii="Calibri" w:eastAsia="Cambria" w:hAnsi="Calibri" w:cs="Calibri"/>
                <w:sz w:val="24"/>
                <w:szCs w:val="24"/>
              </w:rPr>
              <w:t xml:space="preserve">entro 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>M</w:t>
            </w:r>
            <w:r>
              <w:rPr>
                <w:rFonts w:ascii="Calibri" w:eastAsia="Cambria" w:hAnsi="Calibri" w:cs="Calibri"/>
                <w:sz w:val="24"/>
                <w:szCs w:val="24"/>
              </w:rPr>
              <w:t xml:space="preserve">ario 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>M</w:t>
            </w:r>
            <w:r>
              <w:rPr>
                <w:rFonts w:ascii="Calibri" w:eastAsia="Cambria" w:hAnsi="Calibri" w:cs="Calibri"/>
                <w:sz w:val="24"/>
                <w:szCs w:val="24"/>
              </w:rPr>
              <w:t>olina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 xml:space="preserve"> encabeza actualmente la integración de una propuesta para publicar dicha página de internet, misma que será puesta a consideración de la SEDATU en las próximas semanas.</w:t>
            </w:r>
          </w:p>
          <w:p w:rsidR="00C82473" w:rsidRPr="00AF5332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</w:tr>
      <w:tr w:rsidR="00C82473" w:rsidRPr="00AF5332" w:rsidTr="00410D42">
        <w:tc>
          <w:tcPr>
            <w:tcW w:w="2547" w:type="dxa"/>
          </w:tcPr>
          <w:p w:rsidR="00C82473" w:rsidRPr="00AF5332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AF5332">
              <w:rPr>
                <w:rFonts w:ascii="Calibri" w:eastAsia="Cambria" w:hAnsi="Calibri" w:cs="Calibri"/>
                <w:sz w:val="24"/>
                <w:szCs w:val="24"/>
              </w:rPr>
              <w:lastRenderedPageBreak/>
              <w:t>Galería fotográfica</w:t>
            </w:r>
          </w:p>
        </w:tc>
        <w:tc>
          <w:tcPr>
            <w:tcW w:w="7415" w:type="dxa"/>
          </w:tcPr>
          <w:p w:rsidR="00C82473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>No se anexa material fotográfico.</w:t>
            </w:r>
          </w:p>
          <w:p w:rsidR="00C82473" w:rsidRPr="00AF5332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</w:tr>
      <w:tr w:rsidR="00C82473" w:rsidRPr="00AF5332" w:rsidTr="00410D42">
        <w:tc>
          <w:tcPr>
            <w:tcW w:w="2547" w:type="dxa"/>
          </w:tcPr>
          <w:p w:rsidR="00C82473" w:rsidRPr="00AF5332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AF5332">
              <w:rPr>
                <w:rFonts w:ascii="Calibri" w:eastAsia="Cambria" w:hAnsi="Calibri" w:cs="Calibri"/>
                <w:sz w:val="24"/>
                <w:szCs w:val="24"/>
              </w:rPr>
              <w:t>Participación específica de los actores sociales</w:t>
            </w:r>
          </w:p>
        </w:tc>
        <w:tc>
          <w:tcPr>
            <w:tcW w:w="7415" w:type="dxa"/>
          </w:tcPr>
          <w:p w:rsidR="00C82473" w:rsidRPr="00205F58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Se adjuntan archivos con el cuestionario que se distribuyó entre los miembros del Comité y el resumen de las respuestas obtenidas</w:t>
            </w:r>
            <w:r>
              <w:rPr>
                <w:rFonts w:ascii="Calibri" w:eastAsia="Cambria" w:hAnsi="Calibri" w:cs="Calibri"/>
                <w:sz w:val="24"/>
                <w:szCs w:val="24"/>
              </w:rPr>
              <w:t xml:space="preserve"> (CO5. Cuestionario y CO5. Respuestas cuestionarios)</w:t>
            </w:r>
            <w:r w:rsidRPr="00205F58">
              <w:rPr>
                <w:rFonts w:ascii="Calibri" w:eastAsia="Cambria" w:hAnsi="Calibri" w:cs="Calibri"/>
                <w:sz w:val="24"/>
                <w:szCs w:val="24"/>
              </w:rPr>
              <w:t>.</w:t>
            </w:r>
          </w:p>
          <w:p w:rsidR="00C82473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A partir de este insumo se está trabajando en la siguiente fase de la elaboración de la propuesta.</w:t>
            </w:r>
          </w:p>
          <w:p w:rsidR="00C82473" w:rsidRPr="00AF5332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</w:tr>
      <w:tr w:rsidR="00C82473" w:rsidRPr="00AF5332" w:rsidTr="00410D42">
        <w:tc>
          <w:tcPr>
            <w:tcW w:w="2547" w:type="dxa"/>
          </w:tcPr>
          <w:p w:rsidR="00C82473" w:rsidRPr="00AF5332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AF5332">
              <w:rPr>
                <w:rFonts w:ascii="Calibri" w:eastAsia="Cambria" w:hAnsi="Calibri" w:cs="Calibri"/>
                <w:sz w:val="24"/>
                <w:szCs w:val="24"/>
              </w:rPr>
              <w:t>Atención y resultados de la institución</w:t>
            </w:r>
          </w:p>
        </w:tc>
        <w:tc>
          <w:tcPr>
            <w:tcW w:w="7415" w:type="dxa"/>
          </w:tcPr>
          <w:p w:rsidR="00C82473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  <w:r w:rsidRPr="00205F58">
              <w:rPr>
                <w:rFonts w:ascii="Calibri" w:eastAsia="Cambria" w:hAnsi="Calibri" w:cs="Calibri"/>
                <w:sz w:val="24"/>
                <w:szCs w:val="24"/>
              </w:rPr>
              <w:t>SEDATU ha participado en las sesiones y se encuentra en espera de las propuestas de mensajes, de publicación de una página de internet y de una estrategia de difusión de la política en redes sociales.</w:t>
            </w:r>
          </w:p>
          <w:p w:rsidR="00C82473" w:rsidRPr="00AF5332" w:rsidRDefault="00C82473" w:rsidP="00410D42">
            <w:pPr>
              <w:spacing w:after="120"/>
              <w:jc w:val="both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</w:tr>
    </w:tbl>
    <w:p w:rsidR="00C82473" w:rsidRPr="007F11A3" w:rsidRDefault="00C82473" w:rsidP="00C82473">
      <w:pPr>
        <w:spacing w:after="0"/>
        <w:rPr>
          <w:rFonts w:ascii="Arial" w:hAnsi="Arial" w:cs="Arial"/>
          <w:sz w:val="18"/>
          <w:szCs w:val="18"/>
        </w:rPr>
      </w:pPr>
    </w:p>
    <w:p w:rsidR="00CB7843" w:rsidRPr="00C82473" w:rsidRDefault="00CB7843" w:rsidP="00C82473"/>
    <w:sectPr w:rsidR="00CB7843" w:rsidRPr="00C8247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DD" w:rsidRDefault="001D28DD" w:rsidP="00E21548">
      <w:pPr>
        <w:spacing w:after="0" w:line="240" w:lineRule="auto"/>
      </w:pPr>
      <w:r>
        <w:separator/>
      </w:r>
    </w:p>
  </w:endnote>
  <w:endnote w:type="continuationSeparator" w:id="0">
    <w:p w:rsidR="001D28DD" w:rsidRDefault="001D28DD" w:rsidP="00E2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DD" w:rsidRDefault="001D28DD" w:rsidP="00E21548">
      <w:pPr>
        <w:spacing w:after="0" w:line="240" w:lineRule="auto"/>
      </w:pPr>
      <w:r>
        <w:separator/>
      </w:r>
    </w:p>
  </w:footnote>
  <w:footnote w:type="continuationSeparator" w:id="0">
    <w:p w:rsidR="001D28DD" w:rsidRDefault="001D28DD" w:rsidP="00E2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48" w:rsidRDefault="00E21548" w:rsidP="00E21548">
    <w:pPr>
      <w:pStyle w:val="Encabezado"/>
      <w:rPr>
        <w:noProof/>
        <w:lang w:eastAsia="es-MX"/>
      </w:rPr>
    </w:pPr>
    <w:r>
      <w:rPr>
        <w:rFonts w:ascii="Tahoma" w:eastAsia="Times New Roman" w:hAnsi="Tahoma" w:cs="Tahoma"/>
        <w:noProof/>
        <w:color w:val="000000"/>
        <w:sz w:val="20"/>
        <w:szCs w:val="20"/>
        <w:lang w:eastAsia="es-MX"/>
      </w:rPr>
      <w:drawing>
        <wp:inline distT="0" distB="0" distL="0" distR="0" wp14:anchorId="22E2069D" wp14:editId="54248309">
          <wp:extent cx="3267710" cy="688622"/>
          <wp:effectExtent l="0" t="0" r="0" b="0"/>
          <wp:docPr id="1" name="Imagen 1" descr="cid:b6a49722-0724-4769-b2dc-9e7a73868e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6a49722-0724-4769-b2dc-9e7a73868e6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831" cy="695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ab/>
    </w:r>
    <w:r w:rsidRPr="001119E7">
      <w:rPr>
        <w:noProof/>
        <w:sz w:val="28"/>
        <w:szCs w:val="28"/>
        <w:lang w:eastAsia="es-MX"/>
      </w:rPr>
      <w:t>Participación Ciudadana</w:t>
    </w:r>
  </w:p>
  <w:p w:rsidR="00E21548" w:rsidRDefault="00E215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E48"/>
    <w:multiLevelType w:val="hybridMultilevel"/>
    <w:tmpl w:val="1B2E2C22"/>
    <w:lvl w:ilvl="0" w:tplc="73829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4C5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4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4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23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8E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6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43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48"/>
    <w:rsid w:val="00135D19"/>
    <w:rsid w:val="001D28DD"/>
    <w:rsid w:val="00C056C1"/>
    <w:rsid w:val="00C82473"/>
    <w:rsid w:val="00CB7843"/>
    <w:rsid w:val="00E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76184-8F3C-4007-8905-08C606F2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1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548"/>
  </w:style>
  <w:style w:type="paragraph" w:styleId="Piedepgina">
    <w:name w:val="footer"/>
    <w:basedOn w:val="Normal"/>
    <w:link w:val="PiedepginaCar"/>
    <w:uiPriority w:val="99"/>
    <w:unhideWhenUsed/>
    <w:rsid w:val="00E21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548"/>
  </w:style>
  <w:style w:type="table" w:customStyle="1" w:styleId="Tablaconcuadrcula1">
    <w:name w:val="Tabla con cuadrícula1"/>
    <w:basedOn w:val="Tablanormal"/>
    <w:next w:val="Tablaconcuadrcula"/>
    <w:uiPriority w:val="59"/>
    <w:rsid w:val="00C8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6a49722-0724-4769-b2dc-9e7a73868e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Antonio Pirez San Sebastian</dc:creator>
  <cp:keywords/>
  <dc:description/>
  <cp:lastModifiedBy>Rafael Antonio Pirez San Sebastian</cp:lastModifiedBy>
  <cp:revision>3</cp:revision>
  <dcterms:created xsi:type="dcterms:W3CDTF">2014-07-30T18:55:00Z</dcterms:created>
  <dcterms:modified xsi:type="dcterms:W3CDTF">2014-07-30T18:56:00Z</dcterms:modified>
</cp:coreProperties>
</file>